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E" w:rsidRDefault="00BB252E" w:rsidP="00BB252E">
      <w:pPr>
        <w:pStyle w:val="NormalnyWeb"/>
        <w:shd w:val="clear" w:color="auto" w:fill="FFFFFF"/>
        <w:spacing w:line="354" w:lineRule="atLeast"/>
        <w:jc w:val="center"/>
        <w:rPr>
          <w:color w:val="000000"/>
        </w:rPr>
      </w:pPr>
      <w:r>
        <w:rPr>
          <w:b/>
          <w:bCs/>
          <w:color w:val="000000"/>
        </w:rPr>
        <w:t>U C H W A Ł A NR III/7/02</w:t>
      </w:r>
      <w:r>
        <w:rPr>
          <w:color w:val="000000"/>
        </w:rPr>
        <w:t xml:space="preserve">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ind w:hanging="140"/>
        <w:jc w:val="center"/>
        <w:rPr>
          <w:color w:val="000000"/>
        </w:rPr>
      </w:pPr>
      <w:r>
        <w:rPr>
          <w:b/>
          <w:bCs/>
          <w:color w:val="000000"/>
        </w:rPr>
        <w:t>RADY GMINY W NOWOGRÓDKU POMORSKIM</w:t>
      </w:r>
      <w:r>
        <w:rPr>
          <w:color w:val="000000"/>
        </w:rPr>
        <w:t xml:space="preserve">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jc w:val="center"/>
        <w:rPr>
          <w:color w:val="000000"/>
        </w:rPr>
      </w:pPr>
      <w:r>
        <w:rPr>
          <w:b/>
          <w:bCs/>
          <w:color w:val="000000"/>
        </w:rPr>
        <w:t>z dnia 9 grudnia 2002 roku</w:t>
      </w:r>
      <w:r>
        <w:rPr>
          <w:color w:val="000000"/>
        </w:rPr>
        <w:t xml:space="preserve">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ind w:hanging="140"/>
        <w:jc w:val="center"/>
        <w:rPr>
          <w:color w:val="000000"/>
        </w:rPr>
      </w:pPr>
      <w:r>
        <w:rPr>
          <w:color w:val="000000"/>
        </w:rPr>
        <w:t xml:space="preserve">w sprawie: ustalenia wysokości stawek i zwolnień podatku od nieruchomości.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Na podstawie art. 5, ust. 1, art. 6 ust. 9 i art. 7 ust. 2 ustawy z dnia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12 stycznia 1991r. o podatkach i opłatach lokalnych ( tekst jednolity Dz. U. z 2002 r.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Nr 9, poz. 84, Dz. U. Nr 200 poz.1683).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jc w:val="center"/>
        <w:rPr>
          <w:color w:val="000000"/>
        </w:rPr>
      </w:pPr>
      <w:r>
        <w:rPr>
          <w:color w:val="000000"/>
        </w:rPr>
        <w:t xml:space="preserve">u c h w a l a s i ę c o n a s t ę p u j e: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>§ 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Ustala się roczne stawki podatku od nieruchomości :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1. Od budynków mieszkalnych lub ich części od 1m0,50 zł.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2. Od budynków lub ich części związanych z działalnością gospodarczą inną niż rolnicza lub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leśna oraz części budynków mieszkalnych zajętych na prowadzenie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działalności gospodarczej od 1 m 15,58 zł.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3. Od powierzchni użytkowej budynków lub ich części zajętych na prowadzenie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działalności gospodarczej w zakresie obrotu materiałem siewnym od 1m 8,06 zł.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ind w:hanging="140"/>
        <w:rPr>
          <w:color w:val="000000"/>
        </w:rPr>
      </w:pPr>
      <w:r>
        <w:rPr>
          <w:color w:val="000000"/>
        </w:rPr>
        <w:t xml:space="preserve">4. Od powierzchni użytkowej budynków zajętych na prowadzenie działalności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ind w:hanging="140"/>
        <w:rPr>
          <w:color w:val="000000"/>
        </w:rPr>
      </w:pPr>
      <w:r>
        <w:rPr>
          <w:color w:val="000000"/>
        </w:rPr>
        <w:t xml:space="preserve">gospodarczej w zakresie udzielania świadczeń zdrowotnych od 1m 3,11 zł.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>5 . Od pozostałych budynków lub ich części od 1m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( budynki gospodarcze, garaże, szopy ) 3,50 zł.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- należące do emerytów i rencistów , którzy przekazali gospodarstwa rolne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>od 1 m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>- budynki letniskowe od 1 m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ind w:hanging="420"/>
        <w:rPr>
          <w:color w:val="000000"/>
        </w:rPr>
      </w:pPr>
      <w:r>
        <w:rPr>
          <w:color w:val="000000"/>
        </w:rPr>
        <w:lastRenderedPageBreak/>
        <w:t xml:space="preserve">6. Od budowli 2% ich wartości, określonej na podstawie art. 4 ust. 1 pkt. 3 oraz ust. 3 - 7 ustawy.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7. Od gruntów: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a / od gruntów związanych z działalnością gospodarczą , bez względu na sposób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zakwalifikowania w ewidencji gruntów i budynków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jc w:val="right"/>
        <w:rPr>
          <w:color w:val="000000"/>
        </w:rPr>
      </w:pPr>
      <w:r>
        <w:rPr>
          <w:color w:val="000000"/>
        </w:rPr>
        <w:t>od 1m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b/ pod jeziorami, zajętych na zbiorniki wodne retencyjne lub elektrowni wodnych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od 1.00 ha 3,38 zł.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c/ pozostałych od 1 m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d/ należące do emerytów i rencistów , którzy przekazali gospodarstwa rolne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od 1 m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b/>
          <w:bCs/>
          <w:color w:val="000000"/>
        </w:rPr>
        <w:t>§ 2</w:t>
      </w:r>
      <w:r>
        <w:rPr>
          <w:color w:val="000000"/>
        </w:rPr>
        <w:t xml:space="preserve">. Poza zwolnieniami i ulgami określonymi w art. 7 ustawy, wprowadza się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następujące zwolnienia w podatku od nieruchomości: </w:t>
      </w:r>
    </w:p>
    <w:p w:rsidR="00BB252E" w:rsidRDefault="00BB252E" w:rsidP="00BB252E">
      <w:pPr>
        <w:pStyle w:val="NormalnyWeb"/>
        <w:numPr>
          <w:ilvl w:val="0"/>
          <w:numId w:val="1"/>
        </w:numPr>
        <w:shd w:val="clear" w:color="auto" w:fill="FFFFFF"/>
        <w:spacing w:line="354" w:lineRule="atLeast"/>
        <w:ind w:firstLine="0"/>
        <w:rPr>
          <w:color w:val="000000"/>
        </w:rPr>
      </w:pPr>
      <w:r>
        <w:rPr>
          <w:color w:val="000000"/>
        </w:rPr>
        <w:t xml:space="preserve">budynki i grunty pod budynkami oraz działki rentowe będące w dożywotnim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użytkowaniu / grunty i budynki przejęte na Skarb Państwa/.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b/>
          <w:bCs/>
          <w:color w:val="000000"/>
        </w:rPr>
        <w:t>§ 3</w:t>
      </w:r>
      <w:r>
        <w:rPr>
          <w:color w:val="000000"/>
        </w:rPr>
        <w:t xml:space="preserve">. Zarządza się pobór podatku od nieruchomości od osób fizycznych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w drodze inkasa.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2. Na inkasentów podatku o którym mowa w ust.1 wyznacza się sołtysów.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3. Za pobór w/w podatku ustala się prowizję dla inkasentów 5%.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4. Pobrany podatek inkasenci powinni wpłacić do kasy Urzędu Gminy w ciągu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2 dni od daty jego pobrania.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5. Inkasenci ponoszą osobistą odpowiedzialność za podatek pobrany i nie wpłacony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w terminie do kasy Urzędu Gminy.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lastRenderedPageBreak/>
        <w:t xml:space="preserve">6. Zapis </w:t>
      </w:r>
      <w:proofErr w:type="spellStart"/>
      <w:r>
        <w:rPr>
          <w:color w:val="000000"/>
        </w:rPr>
        <w:t>pktu</w:t>
      </w:r>
      <w:proofErr w:type="spellEnd"/>
      <w:r>
        <w:rPr>
          <w:color w:val="000000"/>
        </w:rPr>
        <w:t xml:space="preserve"> 2 nie ma zastosowania do sołectwa Rokitno.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7. Na inkasenta w tym sołectwie wyznacza się Panią Falkowską Ewę zam. Rokitno.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b/>
          <w:bCs/>
          <w:color w:val="000000"/>
        </w:rPr>
        <w:t>§ 4</w:t>
      </w:r>
      <w:r>
        <w:rPr>
          <w:color w:val="000000"/>
        </w:rPr>
        <w:t xml:space="preserve">.Wykonanie uchwały powierza się Wójtowi Gminy Nowogródek Pomorski.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b/>
          <w:bCs/>
          <w:color w:val="000000"/>
        </w:rPr>
        <w:t>§ 5.</w:t>
      </w:r>
      <w:r>
        <w:rPr>
          <w:color w:val="000000"/>
        </w:rPr>
        <w:t xml:space="preserve"> Uchwała wchodzi w życie po upływie 14 dni od dnia ogłoszenia w Dzienniku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Urzędowym Województwa Zachodniopomorskiego z mocą obowiązującą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od dnia 1 stycznia 2003 roku.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Przewodniczący Rady Gminy </w:t>
      </w:r>
    </w:p>
    <w:p w:rsidR="00BB252E" w:rsidRDefault="00BB252E" w:rsidP="00BB252E">
      <w:pPr>
        <w:pStyle w:val="NormalnyWeb"/>
        <w:shd w:val="clear" w:color="auto" w:fill="FFFFFF"/>
        <w:spacing w:line="354" w:lineRule="atLeast"/>
        <w:rPr>
          <w:color w:val="000000"/>
        </w:rPr>
      </w:pPr>
      <w:r>
        <w:rPr>
          <w:color w:val="000000"/>
        </w:rPr>
        <w:t xml:space="preserve">Roland Węgrzynowski </w:t>
      </w:r>
    </w:p>
    <w:p w:rsidR="00CA3A0A" w:rsidRDefault="00CA3A0A"/>
    <w:sectPr w:rsidR="00CA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1AE1"/>
    <w:multiLevelType w:val="multilevel"/>
    <w:tmpl w:val="FE5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BB252E"/>
    <w:rsid w:val="00BB252E"/>
    <w:rsid w:val="00C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6777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460">
          <w:marLeft w:val="140"/>
          <w:marRight w:val="-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61">
          <w:marLeft w:val="0"/>
          <w:marRight w:val="-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597">
          <w:marLeft w:val="0"/>
          <w:marRight w:val="-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759">
          <w:marLeft w:val="0"/>
          <w:marRight w:val="-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339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070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738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828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035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041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333">
          <w:marLeft w:val="14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98">
          <w:marLeft w:val="14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559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707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903">
          <w:marLeft w:val="428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775">
          <w:marLeft w:val="428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956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695">
          <w:marLeft w:val="42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960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96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217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35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152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921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271">
          <w:marLeft w:val="0"/>
          <w:marRight w:val="0"/>
          <w:marTop w:val="236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78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567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934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752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911">
          <w:marLeft w:val="841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573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482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421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918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354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695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43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562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755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260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688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786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712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897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997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32">
          <w:marLeft w:val="0"/>
          <w:marRight w:val="-1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2019-12-09T07:58:00Z</dcterms:created>
  <dcterms:modified xsi:type="dcterms:W3CDTF">2019-12-09T07:58:00Z</dcterms:modified>
</cp:coreProperties>
</file>